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9753" w14:textId="77777777" w:rsidR="003B1E09" w:rsidRDefault="003B1E09" w:rsidP="003B1E09">
      <w:bookmarkStart w:id="0" w:name="_GoBack"/>
      <w:bookmarkEnd w:id="0"/>
      <w:r>
        <w:t xml:space="preserve">Korte analyse Tevredenheidsonderzoek afgenomen vanaf maar 2020 </w:t>
      </w:r>
    </w:p>
    <w:p w14:paraId="648626CA" w14:textId="77777777" w:rsidR="003B1E09" w:rsidRDefault="003B1E09" w:rsidP="003B1E09"/>
    <w:p w14:paraId="098AF2D8" w14:textId="77777777" w:rsidR="003B1E09" w:rsidRDefault="003B1E09" w:rsidP="003B1E09">
      <w:r>
        <w:t xml:space="preserve">Algemeen </w:t>
      </w:r>
    </w:p>
    <w:p w14:paraId="32930BAE" w14:textId="77777777" w:rsidR="003B1E09" w:rsidRDefault="003B1E09" w:rsidP="003B1E09">
      <w:r>
        <w:t>In maart 2020 is het tweejaarlijkse tevredenheidsonderzoek afgenomen. D</w:t>
      </w:r>
      <w:r w:rsidRPr="003B1E09">
        <w:t>e dag vóór de zomervakantie</w:t>
      </w:r>
      <w:r>
        <w:t xml:space="preserve"> kreeg ik per mail de resultaten toegestuurd. Ondanks Corona heeft 69% van de leerlingen de vragenlijst ingevuld. De respons van ouders was tot zelfs iets hoger dan in voorgaande jaren!  Ook heeft 96% van het OP, 73% van het OOP en uiteraard de gehele schoolleiding de vragen beantwoord. In de week daarop hebben we binnen de schoolleiding de rapportages kort besproken. Afgelopen </w:t>
      </w:r>
      <w:r w:rsidR="00DE22EB">
        <w:t>donderdag</w:t>
      </w:r>
      <w:r>
        <w:t xml:space="preserve"> hebben we de rapportages in de werkgroep kwaliteitszorg besproken. </w:t>
      </w:r>
    </w:p>
    <w:p w14:paraId="4E33E96D" w14:textId="77777777" w:rsidR="003B1E09" w:rsidRDefault="003B1E09" w:rsidP="003B1E09">
      <w:r>
        <w:t xml:space="preserve">De scores zijn bij Saenstroom </w:t>
      </w:r>
      <w:proofErr w:type="spellStart"/>
      <w:r>
        <w:t>opdc</w:t>
      </w:r>
      <w:proofErr w:type="spellEnd"/>
      <w:r>
        <w:t xml:space="preserve"> in feite altijd zeer positief en </w:t>
      </w:r>
      <w:r w:rsidR="005D0C6A">
        <w:t>deze keer zijn we gematigd tevreden</w:t>
      </w:r>
      <w:r>
        <w:t xml:space="preserve"> met de uitkomst. In het onderzoek zit een grote hoeveelheid cijfers en vergelijkingen. Wij kiezen er voor om hieronder kort iets te zeggen over de vergelijking die wij intern zien ten opzichte van vorige jaren. Daarnaast publiceren wij op de website de vergelijking met andere scholen (de zogenaamde externe benchmark).</w:t>
      </w:r>
      <w:r w:rsidR="005D0C6A">
        <w:t xml:space="preserve"> </w:t>
      </w:r>
    </w:p>
    <w:p w14:paraId="388EE4EC" w14:textId="77777777" w:rsidR="003B1E09" w:rsidRDefault="003B1E09" w:rsidP="003B1E09">
      <w:r w:rsidRPr="005D0C6A">
        <w:rPr>
          <w:b/>
        </w:rPr>
        <w:t>Rapportcijfer tevredenheidsonderzoek</w:t>
      </w:r>
      <w:r>
        <w:t xml:space="preserve"> </w:t>
      </w:r>
      <w:r w:rsidR="005D0C6A">
        <w:br/>
      </w:r>
      <w:r>
        <w:t>Wij zien dat de rapportcijfers die de be</w:t>
      </w:r>
      <w:r w:rsidR="005D0C6A">
        <w:t>trokkenen voor Saenstroom geven iets lager</w:t>
      </w:r>
      <w:r>
        <w:t xml:space="preserve"> zijn dan 2 jaar geleden</w:t>
      </w:r>
      <w:r w:rsidR="00DE22EB">
        <w:t>.</w:t>
      </w:r>
      <w:r>
        <w:t xml:space="preserve"> </w:t>
      </w:r>
      <w:r w:rsidR="00DE22EB">
        <w:t>Toch ligt het gemiddeld rapportcijfer 0,6</w:t>
      </w:r>
      <w:r>
        <w:t xml:space="preserve"> punten hoger dan de landelijke benchmark.  Het is daarmee een </w:t>
      </w:r>
      <w:r w:rsidR="00DE22EB">
        <w:t>mooi</w:t>
      </w:r>
      <w:r>
        <w:t xml:space="preserve"> rapportcijfer. Hieronder een tabel met de rapportcijfers van de </w:t>
      </w:r>
      <w:r w:rsidR="00DE22EB">
        <w:t>diverse groepen van de laatste 4</w:t>
      </w:r>
      <w:r>
        <w:t xml:space="preserve"> onderzoeken.  </w:t>
      </w:r>
    </w:p>
    <w:tbl>
      <w:tblPr>
        <w:tblStyle w:val="Tabelraster"/>
        <w:tblW w:w="5002" w:type="pct"/>
        <w:tblLook w:val="04A0" w:firstRow="1" w:lastRow="0" w:firstColumn="1" w:lastColumn="0" w:noHBand="0" w:noVBand="1"/>
      </w:tblPr>
      <w:tblGrid>
        <w:gridCol w:w="1649"/>
        <w:gridCol w:w="1478"/>
        <w:gridCol w:w="1490"/>
        <w:gridCol w:w="1483"/>
        <w:gridCol w:w="1483"/>
        <w:gridCol w:w="1483"/>
      </w:tblGrid>
      <w:tr w:rsidR="00AA1125" w14:paraId="3AAEC5AD" w14:textId="21CA118C" w:rsidTr="00AA1125">
        <w:tc>
          <w:tcPr>
            <w:tcW w:w="909" w:type="pct"/>
          </w:tcPr>
          <w:p w14:paraId="5CF101E8" w14:textId="038FAC6A" w:rsidR="00AA1125" w:rsidRDefault="00AA1125" w:rsidP="00AA1125"/>
        </w:tc>
        <w:tc>
          <w:tcPr>
            <w:tcW w:w="815" w:type="pct"/>
          </w:tcPr>
          <w:p w14:paraId="24E308C2" w14:textId="0A150162" w:rsidR="00AA1125" w:rsidRPr="005D0C6A" w:rsidRDefault="00AA1125" w:rsidP="00AA1125">
            <w:pPr>
              <w:jc w:val="center"/>
              <w:rPr>
                <w:b/>
              </w:rPr>
            </w:pPr>
            <w:r w:rsidRPr="005D0C6A">
              <w:rPr>
                <w:b/>
              </w:rPr>
              <w:t>2020</w:t>
            </w:r>
          </w:p>
        </w:tc>
        <w:tc>
          <w:tcPr>
            <w:tcW w:w="822" w:type="pct"/>
          </w:tcPr>
          <w:p w14:paraId="34D3CE66" w14:textId="5E22CE6A" w:rsidR="00AA1125" w:rsidRPr="005D0C6A" w:rsidRDefault="00AA1125" w:rsidP="00AA1125">
            <w:pPr>
              <w:jc w:val="center"/>
              <w:rPr>
                <w:b/>
              </w:rPr>
            </w:pPr>
            <w:r w:rsidRPr="005D0C6A">
              <w:rPr>
                <w:b/>
              </w:rPr>
              <w:t>Landelijk 2020</w:t>
            </w:r>
          </w:p>
        </w:tc>
        <w:tc>
          <w:tcPr>
            <w:tcW w:w="818" w:type="pct"/>
          </w:tcPr>
          <w:p w14:paraId="09BAA4A2" w14:textId="77777777" w:rsidR="00AA1125" w:rsidRDefault="00AA1125" w:rsidP="00AA1125">
            <w:pPr>
              <w:jc w:val="center"/>
              <w:rPr>
                <w:b/>
              </w:rPr>
            </w:pPr>
            <w:r>
              <w:rPr>
                <w:b/>
              </w:rPr>
              <w:t>OVO</w:t>
            </w:r>
          </w:p>
          <w:p w14:paraId="2265E92A" w14:textId="32CC14B8" w:rsidR="00AA1125" w:rsidRPr="005D0C6A" w:rsidRDefault="00AA1125" w:rsidP="00AA1125">
            <w:pPr>
              <w:jc w:val="center"/>
              <w:rPr>
                <w:b/>
              </w:rPr>
            </w:pPr>
            <w:r>
              <w:rPr>
                <w:b/>
              </w:rPr>
              <w:t>2020</w:t>
            </w:r>
          </w:p>
        </w:tc>
        <w:tc>
          <w:tcPr>
            <w:tcW w:w="818" w:type="pct"/>
          </w:tcPr>
          <w:p w14:paraId="63F8571F" w14:textId="36846CFF" w:rsidR="00AA1125" w:rsidRPr="005D0C6A" w:rsidRDefault="00AA1125" w:rsidP="00AA1125">
            <w:pPr>
              <w:jc w:val="center"/>
              <w:rPr>
                <w:b/>
              </w:rPr>
            </w:pPr>
            <w:r w:rsidRPr="005D0C6A">
              <w:rPr>
                <w:b/>
              </w:rPr>
              <w:t>2018</w:t>
            </w:r>
          </w:p>
        </w:tc>
        <w:tc>
          <w:tcPr>
            <w:tcW w:w="818" w:type="pct"/>
          </w:tcPr>
          <w:p w14:paraId="600FF3E9" w14:textId="2E3936CE" w:rsidR="00AA1125" w:rsidRPr="005D0C6A" w:rsidRDefault="00AA1125" w:rsidP="00AA1125">
            <w:pPr>
              <w:jc w:val="center"/>
              <w:rPr>
                <w:b/>
              </w:rPr>
            </w:pPr>
            <w:r w:rsidRPr="005D0C6A">
              <w:rPr>
                <w:b/>
              </w:rPr>
              <w:t>2016</w:t>
            </w:r>
          </w:p>
        </w:tc>
      </w:tr>
      <w:tr w:rsidR="00AA1125" w14:paraId="5B8A7DDD" w14:textId="238076CA" w:rsidTr="00AA1125">
        <w:tc>
          <w:tcPr>
            <w:tcW w:w="909" w:type="pct"/>
          </w:tcPr>
          <w:p w14:paraId="5DE25A62" w14:textId="26B07B7D" w:rsidR="00AA1125" w:rsidRPr="005D0C6A" w:rsidRDefault="00AA1125" w:rsidP="00AA1125">
            <w:pPr>
              <w:rPr>
                <w:b/>
              </w:rPr>
            </w:pPr>
            <w:r w:rsidRPr="005D0C6A">
              <w:rPr>
                <w:b/>
              </w:rPr>
              <w:t>Schoolleiding</w:t>
            </w:r>
          </w:p>
        </w:tc>
        <w:tc>
          <w:tcPr>
            <w:tcW w:w="815" w:type="pct"/>
          </w:tcPr>
          <w:p w14:paraId="4FB247F4" w14:textId="7FC319EB" w:rsidR="00AA1125" w:rsidRDefault="00AA1125" w:rsidP="00AA1125">
            <w:pPr>
              <w:jc w:val="center"/>
            </w:pPr>
            <w:r>
              <w:t>8,7</w:t>
            </w:r>
          </w:p>
        </w:tc>
        <w:tc>
          <w:tcPr>
            <w:tcW w:w="822" w:type="pct"/>
          </w:tcPr>
          <w:p w14:paraId="057F3A21" w14:textId="797F673C" w:rsidR="00AA1125" w:rsidRDefault="00AA1125" w:rsidP="00AA1125">
            <w:pPr>
              <w:jc w:val="center"/>
            </w:pPr>
            <w:r>
              <w:t>7,7</w:t>
            </w:r>
          </w:p>
        </w:tc>
        <w:tc>
          <w:tcPr>
            <w:tcW w:w="818" w:type="pct"/>
          </w:tcPr>
          <w:p w14:paraId="784DCBA5" w14:textId="102A5424" w:rsidR="00AA1125" w:rsidRDefault="00AA1125" w:rsidP="00AA1125">
            <w:pPr>
              <w:jc w:val="center"/>
            </w:pPr>
            <w:r>
              <w:t>7.6</w:t>
            </w:r>
          </w:p>
        </w:tc>
        <w:tc>
          <w:tcPr>
            <w:tcW w:w="818" w:type="pct"/>
          </w:tcPr>
          <w:p w14:paraId="34D7B927" w14:textId="115641C4" w:rsidR="00AA1125" w:rsidRDefault="00AA1125" w:rsidP="00AA1125">
            <w:pPr>
              <w:jc w:val="center"/>
            </w:pPr>
            <w:r>
              <w:t>8,5</w:t>
            </w:r>
          </w:p>
        </w:tc>
        <w:tc>
          <w:tcPr>
            <w:tcW w:w="818" w:type="pct"/>
          </w:tcPr>
          <w:p w14:paraId="1259EAF1" w14:textId="6E1EF631" w:rsidR="00AA1125" w:rsidRDefault="00AA1125" w:rsidP="00AA1125">
            <w:pPr>
              <w:jc w:val="center"/>
            </w:pPr>
            <w:r>
              <w:t>8,5</w:t>
            </w:r>
          </w:p>
        </w:tc>
      </w:tr>
      <w:tr w:rsidR="00AA1125" w14:paraId="137545A5" w14:textId="3D02443D" w:rsidTr="00AA1125">
        <w:tc>
          <w:tcPr>
            <w:tcW w:w="909" w:type="pct"/>
          </w:tcPr>
          <w:p w14:paraId="6B0B6A1D" w14:textId="27F54C1E" w:rsidR="00AA1125" w:rsidRPr="005D0C6A" w:rsidRDefault="00AA1125" w:rsidP="00AA1125">
            <w:pPr>
              <w:rPr>
                <w:b/>
              </w:rPr>
            </w:pPr>
            <w:r w:rsidRPr="005D0C6A">
              <w:rPr>
                <w:b/>
              </w:rPr>
              <w:t>Onderwijzend Personeel</w:t>
            </w:r>
          </w:p>
        </w:tc>
        <w:tc>
          <w:tcPr>
            <w:tcW w:w="815" w:type="pct"/>
          </w:tcPr>
          <w:p w14:paraId="2FF2CAC7" w14:textId="4BCC0ABB" w:rsidR="00AA1125" w:rsidRDefault="00AA1125" w:rsidP="00AA1125">
            <w:pPr>
              <w:jc w:val="center"/>
            </w:pPr>
            <w:r>
              <w:t>7,5</w:t>
            </w:r>
          </w:p>
        </w:tc>
        <w:tc>
          <w:tcPr>
            <w:tcW w:w="822" w:type="pct"/>
          </w:tcPr>
          <w:p w14:paraId="105A1208" w14:textId="5F12EAD3" w:rsidR="00AA1125" w:rsidRDefault="00AA1125" w:rsidP="00AA1125">
            <w:pPr>
              <w:jc w:val="center"/>
            </w:pPr>
            <w:r>
              <w:t>7,1</w:t>
            </w:r>
          </w:p>
        </w:tc>
        <w:tc>
          <w:tcPr>
            <w:tcW w:w="818" w:type="pct"/>
          </w:tcPr>
          <w:p w14:paraId="6C805CCE" w14:textId="3B690195" w:rsidR="00AA1125" w:rsidRDefault="00AA1125" w:rsidP="00AA1125">
            <w:pPr>
              <w:jc w:val="center"/>
            </w:pPr>
            <w:r>
              <w:t>7,2</w:t>
            </w:r>
          </w:p>
        </w:tc>
        <w:tc>
          <w:tcPr>
            <w:tcW w:w="818" w:type="pct"/>
          </w:tcPr>
          <w:p w14:paraId="00F9F24B" w14:textId="3525A87D" w:rsidR="00AA1125" w:rsidRDefault="00AA1125" w:rsidP="00AA1125">
            <w:pPr>
              <w:jc w:val="center"/>
            </w:pPr>
            <w:r>
              <w:t>8,2</w:t>
            </w:r>
          </w:p>
        </w:tc>
        <w:tc>
          <w:tcPr>
            <w:tcW w:w="818" w:type="pct"/>
          </w:tcPr>
          <w:p w14:paraId="1B00B333" w14:textId="6C332406" w:rsidR="00AA1125" w:rsidRDefault="00AA1125" w:rsidP="00AA1125">
            <w:pPr>
              <w:jc w:val="center"/>
            </w:pPr>
            <w:r>
              <w:t>8,2</w:t>
            </w:r>
          </w:p>
        </w:tc>
      </w:tr>
      <w:tr w:rsidR="00AA1125" w14:paraId="226388EB" w14:textId="5305B8D8" w:rsidTr="00AA1125">
        <w:tc>
          <w:tcPr>
            <w:tcW w:w="909" w:type="pct"/>
          </w:tcPr>
          <w:p w14:paraId="14FD99B2" w14:textId="1B05A5F5" w:rsidR="00AA1125" w:rsidRPr="005D0C6A" w:rsidRDefault="00AA1125" w:rsidP="00AA1125">
            <w:pPr>
              <w:rPr>
                <w:b/>
              </w:rPr>
            </w:pPr>
            <w:r w:rsidRPr="005D0C6A">
              <w:rPr>
                <w:b/>
              </w:rPr>
              <w:t>Onderwijs Ondersteunend Personeel</w:t>
            </w:r>
          </w:p>
        </w:tc>
        <w:tc>
          <w:tcPr>
            <w:tcW w:w="815" w:type="pct"/>
          </w:tcPr>
          <w:p w14:paraId="5FFDF177" w14:textId="5B84D36B" w:rsidR="00AA1125" w:rsidRDefault="00AA1125" w:rsidP="00AA1125">
            <w:pPr>
              <w:jc w:val="center"/>
            </w:pPr>
            <w:r>
              <w:t>7,9</w:t>
            </w:r>
          </w:p>
        </w:tc>
        <w:tc>
          <w:tcPr>
            <w:tcW w:w="822" w:type="pct"/>
          </w:tcPr>
          <w:p w14:paraId="2C255E17" w14:textId="11A06E1E" w:rsidR="00AA1125" w:rsidRDefault="00AA1125" w:rsidP="00AA1125">
            <w:pPr>
              <w:jc w:val="center"/>
            </w:pPr>
            <w:r>
              <w:t>7,4</w:t>
            </w:r>
          </w:p>
        </w:tc>
        <w:tc>
          <w:tcPr>
            <w:tcW w:w="818" w:type="pct"/>
          </w:tcPr>
          <w:p w14:paraId="7E01B401" w14:textId="67ADECA3" w:rsidR="00AA1125" w:rsidRDefault="00AA1125" w:rsidP="00AA1125">
            <w:pPr>
              <w:jc w:val="center"/>
            </w:pPr>
            <w:r>
              <w:t>7,0</w:t>
            </w:r>
          </w:p>
        </w:tc>
        <w:tc>
          <w:tcPr>
            <w:tcW w:w="818" w:type="pct"/>
          </w:tcPr>
          <w:p w14:paraId="6691D73E" w14:textId="00BD844D" w:rsidR="00AA1125" w:rsidRDefault="00AA1125" w:rsidP="00AA1125">
            <w:pPr>
              <w:jc w:val="center"/>
            </w:pPr>
            <w:r>
              <w:t>8,1</w:t>
            </w:r>
          </w:p>
        </w:tc>
        <w:tc>
          <w:tcPr>
            <w:tcW w:w="818" w:type="pct"/>
          </w:tcPr>
          <w:p w14:paraId="1D91169B" w14:textId="27864F02" w:rsidR="00AA1125" w:rsidRDefault="00AA1125" w:rsidP="00AA1125">
            <w:pPr>
              <w:jc w:val="center"/>
            </w:pPr>
            <w:r>
              <w:t>8,3</w:t>
            </w:r>
          </w:p>
        </w:tc>
      </w:tr>
      <w:tr w:rsidR="00AA1125" w14:paraId="49A601ED" w14:textId="78E7962C" w:rsidTr="00AA1125">
        <w:tc>
          <w:tcPr>
            <w:tcW w:w="909" w:type="pct"/>
          </w:tcPr>
          <w:p w14:paraId="5F887144" w14:textId="3E3F4F8E" w:rsidR="00AA1125" w:rsidRPr="005D0C6A" w:rsidRDefault="00AA1125" w:rsidP="00AA1125">
            <w:pPr>
              <w:rPr>
                <w:b/>
              </w:rPr>
            </w:pPr>
            <w:r w:rsidRPr="005D0C6A">
              <w:rPr>
                <w:b/>
              </w:rPr>
              <w:t>Ouders</w:t>
            </w:r>
          </w:p>
        </w:tc>
        <w:tc>
          <w:tcPr>
            <w:tcW w:w="815" w:type="pct"/>
          </w:tcPr>
          <w:p w14:paraId="106E2C00" w14:textId="0F8C9D0C" w:rsidR="00AA1125" w:rsidRDefault="00AA1125" w:rsidP="00AA1125">
            <w:pPr>
              <w:jc w:val="center"/>
            </w:pPr>
            <w:r>
              <w:t>7,9</w:t>
            </w:r>
          </w:p>
        </w:tc>
        <w:tc>
          <w:tcPr>
            <w:tcW w:w="822" w:type="pct"/>
          </w:tcPr>
          <w:p w14:paraId="6D9ABDDC" w14:textId="401A4022" w:rsidR="00AA1125" w:rsidRDefault="00AA1125" w:rsidP="00AA1125">
            <w:pPr>
              <w:jc w:val="center"/>
            </w:pPr>
            <w:r>
              <w:t>7,2</w:t>
            </w:r>
          </w:p>
        </w:tc>
        <w:tc>
          <w:tcPr>
            <w:tcW w:w="818" w:type="pct"/>
          </w:tcPr>
          <w:p w14:paraId="2619DFA8" w14:textId="4F19CB12" w:rsidR="00AA1125" w:rsidRDefault="00AA1125" w:rsidP="00AA1125">
            <w:pPr>
              <w:jc w:val="center"/>
            </w:pPr>
            <w:r>
              <w:t>7,3</w:t>
            </w:r>
          </w:p>
        </w:tc>
        <w:tc>
          <w:tcPr>
            <w:tcW w:w="818" w:type="pct"/>
          </w:tcPr>
          <w:p w14:paraId="511630A3" w14:textId="01893CFE" w:rsidR="00AA1125" w:rsidRDefault="00AA1125" w:rsidP="00AA1125">
            <w:pPr>
              <w:jc w:val="center"/>
            </w:pPr>
            <w:r>
              <w:t>8,2</w:t>
            </w:r>
          </w:p>
        </w:tc>
        <w:tc>
          <w:tcPr>
            <w:tcW w:w="818" w:type="pct"/>
          </w:tcPr>
          <w:p w14:paraId="67791330" w14:textId="01450D27" w:rsidR="00AA1125" w:rsidRDefault="00AA1125" w:rsidP="00AA1125">
            <w:pPr>
              <w:jc w:val="center"/>
            </w:pPr>
            <w:r>
              <w:t>7,9</w:t>
            </w:r>
          </w:p>
        </w:tc>
      </w:tr>
      <w:tr w:rsidR="00AA1125" w14:paraId="2C3922E0" w14:textId="68CA0C51" w:rsidTr="00AA1125">
        <w:tc>
          <w:tcPr>
            <w:tcW w:w="909" w:type="pct"/>
          </w:tcPr>
          <w:p w14:paraId="00A4CF65" w14:textId="054C8D5A" w:rsidR="00AA1125" w:rsidRPr="005D0C6A" w:rsidRDefault="00AA1125" w:rsidP="00AA1125">
            <w:pPr>
              <w:rPr>
                <w:b/>
              </w:rPr>
            </w:pPr>
            <w:r w:rsidRPr="005D0C6A">
              <w:rPr>
                <w:b/>
              </w:rPr>
              <w:t>Leerlingen</w:t>
            </w:r>
          </w:p>
        </w:tc>
        <w:tc>
          <w:tcPr>
            <w:tcW w:w="815" w:type="pct"/>
          </w:tcPr>
          <w:p w14:paraId="4DB5178E" w14:textId="0DD50089" w:rsidR="00AA1125" w:rsidRDefault="00AA1125" w:rsidP="00AA1125">
            <w:pPr>
              <w:jc w:val="center"/>
            </w:pPr>
            <w:r>
              <w:t>7,2</w:t>
            </w:r>
          </w:p>
        </w:tc>
        <w:tc>
          <w:tcPr>
            <w:tcW w:w="822" w:type="pct"/>
          </w:tcPr>
          <w:p w14:paraId="37556F77" w14:textId="2B0EEA51" w:rsidR="00AA1125" w:rsidRDefault="00AA1125" w:rsidP="00AA1125">
            <w:pPr>
              <w:jc w:val="center"/>
            </w:pPr>
            <w:r>
              <w:t>6,7</w:t>
            </w:r>
          </w:p>
        </w:tc>
        <w:tc>
          <w:tcPr>
            <w:tcW w:w="818" w:type="pct"/>
          </w:tcPr>
          <w:p w14:paraId="0B67E7ED" w14:textId="68D5A6EF" w:rsidR="00AA1125" w:rsidRDefault="00AA1125" w:rsidP="00AA1125">
            <w:pPr>
              <w:jc w:val="center"/>
            </w:pPr>
            <w:r>
              <w:t>6,8</w:t>
            </w:r>
          </w:p>
        </w:tc>
        <w:tc>
          <w:tcPr>
            <w:tcW w:w="818" w:type="pct"/>
          </w:tcPr>
          <w:p w14:paraId="26956628" w14:textId="08F5868A" w:rsidR="00AA1125" w:rsidRDefault="00AA1125" w:rsidP="00AA1125">
            <w:pPr>
              <w:jc w:val="center"/>
            </w:pPr>
            <w:r>
              <w:t>7,5</w:t>
            </w:r>
          </w:p>
        </w:tc>
        <w:tc>
          <w:tcPr>
            <w:tcW w:w="818" w:type="pct"/>
          </w:tcPr>
          <w:p w14:paraId="2A476554" w14:textId="3BAD5481" w:rsidR="00AA1125" w:rsidRDefault="00AA1125" w:rsidP="00AA1125">
            <w:pPr>
              <w:jc w:val="center"/>
            </w:pPr>
            <w:r>
              <w:t>7,3</w:t>
            </w:r>
          </w:p>
        </w:tc>
      </w:tr>
    </w:tbl>
    <w:p w14:paraId="26FBB28F" w14:textId="77777777" w:rsidR="003B1E09" w:rsidRDefault="003B1E09" w:rsidP="003B1E09">
      <w:r>
        <w:t xml:space="preserve"> </w:t>
      </w:r>
    </w:p>
    <w:p w14:paraId="20FDE0DB" w14:textId="77777777" w:rsidR="00596A7F" w:rsidRDefault="003B1E09" w:rsidP="003B1E09">
      <w:r w:rsidRPr="005D0C6A">
        <w:rPr>
          <w:b/>
        </w:rPr>
        <w:t>Externe benchmark tevredenheidsonderzoek</w:t>
      </w:r>
      <w:r>
        <w:t xml:space="preserve"> </w:t>
      </w:r>
      <w:r w:rsidR="005D0C6A">
        <w:br/>
      </w:r>
      <w:r>
        <w:t xml:space="preserve">Als je de scores van alle vragen vergelijkt met de landelijke benchmark </w:t>
      </w:r>
      <w:r w:rsidR="005D0C6A">
        <w:t xml:space="preserve">2020 </w:t>
      </w:r>
      <w:r>
        <w:t xml:space="preserve">(en die is vanuit een grote groep scholen bepaald en betrouwbaar), dan zie je dat wij op </w:t>
      </w:r>
      <w:r w:rsidR="00596A7F">
        <w:t>veel</w:t>
      </w:r>
      <w:r>
        <w:t xml:space="preserve"> vragen significant hoger scoren dan landelijk en op </w:t>
      </w:r>
      <w:r w:rsidR="00596A7F">
        <w:t xml:space="preserve">een aantal </w:t>
      </w:r>
      <w:r w:rsidR="00596A7F">
        <w:lastRenderedPageBreak/>
        <w:t>vragen</w:t>
      </w:r>
      <w:r>
        <w:t xml:space="preserve"> significant lager. Significant wil zeggen dat op een schaal van 1 : 5 een afwijking be</w:t>
      </w:r>
      <w:r w:rsidR="00DE22EB">
        <w:t xml:space="preserve">staat van 0,3 punten of meer.  </w:t>
      </w:r>
      <w:r w:rsidR="00E85528">
        <w:br/>
      </w:r>
    </w:p>
    <w:p w14:paraId="46A80148" w14:textId="77777777" w:rsidR="00227CC9" w:rsidRDefault="00596A7F" w:rsidP="00422679">
      <w:r w:rsidRPr="00422679">
        <w:rPr>
          <w:b/>
        </w:rPr>
        <w:t>Leerlingen</w:t>
      </w:r>
      <w:r w:rsidR="00227CC9">
        <w:br/>
        <w:t>De twee</w:t>
      </w:r>
      <w:r>
        <w:t xml:space="preserve"> negatieve scores zijn </w:t>
      </w:r>
      <w:r w:rsidR="00227CC9">
        <w:t>van leerlingen die spreken over</w:t>
      </w:r>
      <w:r>
        <w:t xml:space="preserve"> h</w:t>
      </w:r>
      <w:r w:rsidR="00227CC9">
        <w:t xml:space="preserve">et pesten op school en </w:t>
      </w:r>
      <w:r>
        <w:t>het niet expres pijn doen van elkaar</w:t>
      </w:r>
      <w:r w:rsidR="00227CC9">
        <w:t xml:space="preserve">. Het komende jaar gaan we nog meer aandacht besteden aan pestgedrag op school. We gebruiken daarvoor een programma SWIS SUITE waarmee wij data verzamelen over gedragsincidenten op school-, klas- en leerling niveau. Zo krijgen we inzicht in wat er op school gebeurt en kunnen we de problemen </w:t>
      </w:r>
      <w:proofErr w:type="spellStart"/>
      <w:r w:rsidR="00227CC9">
        <w:t>schoolbreed</w:t>
      </w:r>
      <w:proofErr w:type="spellEnd"/>
      <w:r w:rsidR="00227CC9">
        <w:t xml:space="preserve"> aanpakken. </w:t>
      </w:r>
    </w:p>
    <w:p w14:paraId="36460B30" w14:textId="25EA1111" w:rsidR="00596A7F" w:rsidRDefault="00227CC9" w:rsidP="003B1E09">
      <w:r>
        <w:t>Gelukkig zijn er vooral positieve geluiden</w:t>
      </w:r>
      <w:r w:rsidR="00780095">
        <w:t xml:space="preserve"> van leerlingen</w:t>
      </w:r>
      <w:r>
        <w:t xml:space="preserve">. </w:t>
      </w:r>
      <w:r w:rsidR="00596A7F">
        <w:t>Vergeleken met twee jaar geleden zijn de leerlingen tevreden</w:t>
      </w:r>
      <w:r w:rsidR="00422679">
        <w:t>er</w:t>
      </w:r>
      <w:r w:rsidR="00596A7F">
        <w:t xml:space="preserve"> over de sfeer op school en is ook de omgang met de medeleerlingen beter. </w:t>
      </w:r>
      <w:r w:rsidR="0034730F">
        <w:t>De leerlingen waarde</w:t>
      </w:r>
      <w:r w:rsidR="00422679">
        <w:t xml:space="preserve">ren dat in de lessen docenten verschillende activiteiten hanteren, ook wordt er goed rekening gehouden met wat leerlingen wel en niet kunnen. De buitenschoolse activiteiten worden als zeer goed ervaren. Tot slot vinden leerlingen dat ze goede hulp krijgen bij persoonlijke problemen. </w:t>
      </w:r>
    </w:p>
    <w:p w14:paraId="3827F6B9" w14:textId="77777777" w:rsidR="00422679" w:rsidRDefault="00422679" w:rsidP="003B1E09">
      <w:r w:rsidRPr="00422679">
        <w:rPr>
          <w:b/>
        </w:rPr>
        <w:t>Ouders</w:t>
      </w:r>
      <w:r>
        <w:br/>
        <w:t xml:space="preserve">Op geen enkel punt vinden ouders dat wij als school slechter presteren dan landelijke cijfers aangeven. In positieve zin noemen ouders dat de school hun kind stimuleert om zijn of haar best te doen. Zij vinden dat ze goed geïnformeerd worden over de vorderingen van hun </w:t>
      </w:r>
      <w:r w:rsidR="00227CC9">
        <w:t>kind</w:t>
      </w:r>
      <w:r>
        <w:t xml:space="preserve"> en ook vinden ze dat ze makkelijk contact kunnen krijgen met de school als ze dat willen. Tot </w:t>
      </w:r>
      <w:r w:rsidR="00227CC9">
        <w:t xml:space="preserve">slot </w:t>
      </w:r>
      <w:r>
        <w:t xml:space="preserve">geven </w:t>
      </w:r>
      <w:r w:rsidR="00227CC9">
        <w:t>ouders</w:t>
      </w:r>
      <w:r>
        <w:t xml:space="preserve"> aan dat ze andere ouders zouden aanraden om deze school voor hun kind te kiezen. Een mooier compliment is niet denkbaar! </w:t>
      </w:r>
    </w:p>
    <w:p w14:paraId="7030D937" w14:textId="77777777" w:rsidR="00422679" w:rsidRPr="00C17FA5" w:rsidRDefault="00C17FA5" w:rsidP="003B1E09">
      <w:r w:rsidRPr="00C17FA5">
        <w:rPr>
          <w:b/>
        </w:rPr>
        <w:t>Domeinen en rubrieken</w:t>
      </w:r>
      <w:r w:rsidR="00D965B9">
        <w:rPr>
          <w:b/>
        </w:rPr>
        <w:t xml:space="preserve">: </w:t>
      </w:r>
      <w:r w:rsidR="00D965B9" w:rsidRPr="00C17FA5">
        <w:rPr>
          <w:i/>
        </w:rPr>
        <w:t>Onderwijs en Leren</w:t>
      </w:r>
      <w:r>
        <w:br/>
        <w:t xml:space="preserve">De vragenlijsten zijn opgebouwd uit verschillende domeinen en rubrieken. Onder het domein </w:t>
      </w:r>
      <w:r w:rsidRPr="00C17FA5">
        <w:rPr>
          <w:i/>
        </w:rPr>
        <w:t>Onderwijs en Leren</w:t>
      </w:r>
      <w:r>
        <w:t xml:space="preserve"> valt o.a. de rubriek </w:t>
      </w:r>
      <w:r w:rsidRPr="00C17FA5">
        <w:rPr>
          <w:i/>
        </w:rPr>
        <w:t>leren</w:t>
      </w:r>
      <w:r>
        <w:t xml:space="preserve">. In deze rubriek denkt onze schoolleiding positiever over leren binnen de eigen school, dan de scholen landelijk denken. Als het gaat om </w:t>
      </w:r>
      <w:r w:rsidRPr="00C17FA5">
        <w:rPr>
          <w:i/>
        </w:rPr>
        <w:t>Onderwijsaanbod en toetsing</w:t>
      </w:r>
      <w:r>
        <w:t xml:space="preserve">, is ook de schoolleiding positiever gestemd. Het docententeam van Saenstroom denkt daar vergelijkbaar over. Leerlingen score ons op dit onderdeel iets lager. In de rubriek </w:t>
      </w:r>
      <w:r w:rsidRPr="00C17FA5">
        <w:rPr>
          <w:i/>
        </w:rPr>
        <w:t>Didactiek</w:t>
      </w:r>
      <w:r>
        <w:t xml:space="preserve"> vindt de schoolleiding </w:t>
      </w:r>
      <w:r>
        <w:lastRenderedPageBreak/>
        <w:t xml:space="preserve">dat er goed werk wordt verricht. Het </w:t>
      </w:r>
      <w:r w:rsidR="00D965B9">
        <w:t>docententeam</w:t>
      </w:r>
      <w:r>
        <w:t xml:space="preserve"> is daar iets minder van overtuigd. Onze eigen leerlingen zijn hier positiever over dan leerlingen van de OVO-scholen. Tot slot de </w:t>
      </w:r>
      <w:r>
        <w:rPr>
          <w:i/>
        </w:rPr>
        <w:t xml:space="preserve">Leerlingenondersteuning. </w:t>
      </w:r>
      <w:r>
        <w:t>Over dit onderdeel zijn zowel de leidinggevende</w:t>
      </w:r>
      <w:r w:rsidR="00D965B9">
        <w:t>n,</w:t>
      </w:r>
      <w:r>
        <w:t xml:space="preserve"> docenten</w:t>
      </w:r>
      <w:r w:rsidR="00D965B9">
        <w:t xml:space="preserve">, ouders en leerlingen positief. Wij bieden goede begeleiding en hulp bij leer- of gedragsproblemen.  </w:t>
      </w:r>
    </w:p>
    <w:p w14:paraId="1D0A1429" w14:textId="77777777" w:rsidR="00C17FA5" w:rsidRDefault="00D965B9" w:rsidP="003B1E09">
      <w:r w:rsidRPr="00D965B9">
        <w:rPr>
          <w:i/>
        </w:rPr>
        <w:t>Cultuur</w:t>
      </w:r>
      <w:r>
        <w:br/>
        <w:t>In dit domein wordt met name de sfeer, sociale omgang en veiligheid beschreven. De schoolleiding is hierin kritischer op de eigen school dan scholen landelijk zijn. Voor wat betreft het uiten van onvrede door ouders, is de schoolleiding kritischer op het eigen functioneren. Ouders daarentegen zijn gemiddeld positiever over dit punt dan landelijk wordt gescoord. Tot slot als het gaat om het structureel werken aan het verbeteren van de prestaties trekt de schoolleiding en het personeel gezamenlijk op. Dit doen wij beter dan</w:t>
      </w:r>
      <w:r w:rsidR="00B479DF">
        <w:t xml:space="preserve"> scholen regionaal en</w:t>
      </w:r>
      <w:r>
        <w:t xml:space="preserve"> landelijk</w:t>
      </w:r>
      <w:r w:rsidR="00B479DF">
        <w:t xml:space="preserve"> doen</w:t>
      </w:r>
      <w:r>
        <w:t xml:space="preserve">. </w:t>
      </w:r>
    </w:p>
    <w:p w14:paraId="26B42211" w14:textId="77777777" w:rsidR="003B1E09" w:rsidRDefault="00B479DF" w:rsidP="003B1E09">
      <w:r>
        <w:t xml:space="preserve">Uiteraard zijn er nog meer resultaten over andere domeinen. </w:t>
      </w:r>
      <w:r w:rsidR="003B1E09">
        <w:t>Ik adviseer iedereen om de grote rapportage te bekijken om te zien waar de sterke punten van Saenstroom vooral liggen. Daarmee zie je wat maakt dat wij voor veel leerlingen de goede plek zijn om tot ontwikkeling te komen.</w:t>
      </w:r>
      <w:r w:rsidR="00DE22EB">
        <w:t xml:space="preserve"> </w:t>
      </w:r>
    </w:p>
    <w:p w14:paraId="678BB05A" w14:textId="77777777" w:rsidR="00B479DF" w:rsidRDefault="00B479DF" w:rsidP="003B1E09">
      <w:r>
        <w:t xml:space="preserve">In oktober zullen wij een bijeenkomst plannen om lering te trekken uit dit onderzoek. </w:t>
      </w:r>
    </w:p>
    <w:p w14:paraId="74F96627" w14:textId="77777777" w:rsidR="003B1E09" w:rsidRDefault="003B1E09" w:rsidP="003B1E09">
      <w:r>
        <w:t>Met vriendelijke groet,</w:t>
      </w:r>
      <w:r w:rsidR="00DE22EB">
        <w:t xml:space="preserve"> </w:t>
      </w:r>
    </w:p>
    <w:p w14:paraId="1ED0D0DE" w14:textId="77777777" w:rsidR="003B1E09" w:rsidRDefault="003B1E09" w:rsidP="003B1E09"/>
    <w:p w14:paraId="4BE9A14D" w14:textId="77777777" w:rsidR="007F793B" w:rsidRDefault="003B1E09" w:rsidP="003B1E09">
      <w:r>
        <w:t>S. van Briemen Directeur(</w:t>
      </w:r>
      <w:proofErr w:type="spellStart"/>
      <w:r>
        <w:t>wnd</w:t>
      </w:r>
      <w:proofErr w:type="spellEnd"/>
      <w:r>
        <w:t xml:space="preserve">) Saenstroom </w:t>
      </w:r>
      <w:proofErr w:type="spellStart"/>
      <w:r>
        <w:t>opdc</w:t>
      </w:r>
      <w:proofErr w:type="spellEnd"/>
    </w:p>
    <w:p w14:paraId="5CDDD9D8" w14:textId="77777777" w:rsidR="003B1E09" w:rsidRDefault="003B1E09" w:rsidP="003B1E09"/>
    <w:sectPr w:rsidR="003B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09"/>
    <w:rsid w:val="000814A3"/>
    <w:rsid w:val="00227CC9"/>
    <w:rsid w:val="0034730F"/>
    <w:rsid w:val="003B1E09"/>
    <w:rsid w:val="00422679"/>
    <w:rsid w:val="00596A7F"/>
    <w:rsid w:val="005D0C6A"/>
    <w:rsid w:val="00780095"/>
    <w:rsid w:val="007F793B"/>
    <w:rsid w:val="00993783"/>
    <w:rsid w:val="00AA1125"/>
    <w:rsid w:val="00B479DF"/>
    <w:rsid w:val="00C17FA5"/>
    <w:rsid w:val="00D965B9"/>
    <w:rsid w:val="00DE22EB"/>
    <w:rsid w:val="00E33293"/>
    <w:rsid w:val="00E85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1760"/>
  <w15:chartTrackingRefBased/>
  <w15:docId w15:val="{F51D8F2D-4D5A-4E68-A9DE-C320BAC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D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B8C1CC2AD5499854CE3D3F89467F" ma:contentTypeVersion="13" ma:contentTypeDescription="Create a new document." ma:contentTypeScope="" ma:versionID="ffd13e97862372355a8c4bf23a8e66f5">
  <xsd:schema xmlns:xsd="http://www.w3.org/2001/XMLSchema" xmlns:xs="http://www.w3.org/2001/XMLSchema" xmlns:p="http://schemas.microsoft.com/office/2006/metadata/properties" xmlns:ns3="e4fd0f71-7b75-4157-9dc6-5f1c89635b3b" xmlns:ns4="99b87a80-0e40-4679-af83-5103f4d29cfd" targetNamespace="http://schemas.microsoft.com/office/2006/metadata/properties" ma:root="true" ma:fieldsID="323b5b679403dc088ef8422c4c06dc0a" ns3:_="" ns4:_="">
    <xsd:import namespace="e4fd0f71-7b75-4157-9dc6-5f1c89635b3b"/>
    <xsd:import namespace="99b87a80-0e40-4679-af83-5103f4d29c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0f71-7b75-4157-9dc6-5f1c89635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87a80-0e40-4679-af83-5103f4d29c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FC199-A6C1-4809-A26C-DEE5A23A38E5}">
  <ds:schemaRefs>
    <ds:schemaRef ds:uri="http://schemas.microsoft.com/sharepoint/v3/contenttype/forms"/>
  </ds:schemaRefs>
</ds:datastoreItem>
</file>

<file path=customXml/itemProps2.xml><?xml version="1.0" encoding="utf-8"?>
<ds:datastoreItem xmlns:ds="http://schemas.openxmlformats.org/officeDocument/2006/customXml" ds:itemID="{0B0BD6AF-28A2-494F-8C88-3812195811B3}">
  <ds:schemaRefs>
    <ds:schemaRef ds:uri="http://purl.org/dc/elements/1.1/"/>
    <ds:schemaRef ds:uri="99b87a80-0e40-4679-af83-5103f4d29cfd"/>
    <ds:schemaRef ds:uri="http://schemas.microsoft.com/office/2006/metadata/properties"/>
    <ds:schemaRef ds:uri="e4fd0f71-7b75-4157-9dc6-5f1c89635b3b"/>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08EEFB-C3AE-4342-A93F-7FAD17AC8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0f71-7b75-4157-9dc6-5f1c89635b3b"/>
    <ds:schemaRef ds:uri="99b87a80-0e40-4679-af83-5103f4d2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4620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Briemen</dc:creator>
  <cp:keywords/>
  <dc:description/>
  <cp:lastModifiedBy>Sharon Soeters</cp:lastModifiedBy>
  <cp:revision>2</cp:revision>
  <dcterms:created xsi:type="dcterms:W3CDTF">2020-10-28T12:22:00Z</dcterms:created>
  <dcterms:modified xsi:type="dcterms:W3CDTF">2020-10-28T12:22:00Z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0x0101002801B8C1CC2AD5499854CE3D3F89467F</vt:lpwstr>
  </property>
</Properties>
</file>